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宋体" w:hAnsi="宋体" w:eastAsia="宋体" w:cs="宋体"/>
          <w:bCs/>
        </w:rPr>
      </w:pPr>
      <w:bookmarkStart w:id="2" w:name="_GoBack"/>
      <w:r>
        <w:rPr>
          <w:rFonts w:hint="eastAsia" w:ascii="宋体" w:hAnsi="宋体" w:eastAsia="宋体" w:cs="宋体"/>
          <w:b/>
          <w:bCs/>
          <w:sz w:val="32"/>
          <w:szCs w:val="32"/>
        </w:rPr>
        <w:t>附件2：安徽省地质博物馆安徽恐龙科普视频制作服务评分标准及办法</w:t>
      </w:r>
    </w:p>
    <w:bookmarkEnd w:id="2"/>
    <w:p>
      <w:pPr>
        <w:spacing w:line="360" w:lineRule="auto"/>
        <w:ind w:firstLine="437"/>
        <w:outlineLvl w:val="1"/>
        <w:rPr>
          <w:rFonts w:ascii="宋体" w:hAnsi="宋体" w:eastAsia="宋体" w:cs="Times New Roman"/>
          <w:b/>
          <w:sz w:val="24"/>
        </w:rPr>
      </w:pPr>
      <w:bookmarkStart w:id="0" w:name="_Toc22887"/>
      <w:r>
        <w:rPr>
          <w:rFonts w:hint="eastAsia" w:ascii="宋体" w:hAnsi="宋体" w:eastAsia="宋体" w:cs="Times New Roman"/>
          <w:b/>
          <w:sz w:val="24"/>
        </w:rPr>
        <w:t>一、总则</w:t>
      </w:r>
      <w:bookmarkEnd w:id="0"/>
    </w:p>
    <w:p>
      <w:pPr>
        <w:spacing w:line="360" w:lineRule="auto"/>
        <w:ind w:firstLine="435"/>
        <w:rPr>
          <w:rFonts w:ascii="宋体" w:hAnsi="宋体" w:eastAsia="宋体" w:cs="Times New Roman"/>
          <w:sz w:val="24"/>
        </w:rPr>
      </w:pPr>
      <w:r>
        <w:rPr>
          <w:rFonts w:hint="eastAsia" w:ascii="宋体" w:hAnsi="宋体" w:eastAsia="宋体" w:cs="Times New Roman"/>
          <w:sz w:val="24"/>
        </w:rPr>
        <w:t>本项目供应商须知的相关要求</w:t>
      </w:r>
      <w:r>
        <w:rPr>
          <w:rFonts w:ascii="宋体" w:hAnsi="宋体" w:eastAsia="宋体" w:cs="Times New Roman"/>
          <w:sz w:val="24"/>
        </w:rPr>
        <w:t>及本章的规定</w:t>
      </w:r>
      <w:r>
        <w:rPr>
          <w:rFonts w:hint="eastAsia" w:ascii="宋体" w:hAnsi="宋体" w:eastAsia="宋体" w:cs="Times New Roman"/>
          <w:sz w:val="24"/>
        </w:rPr>
        <w:t>评审</w:t>
      </w:r>
      <w:r>
        <w:rPr>
          <w:rFonts w:ascii="宋体" w:hAnsi="宋体" w:eastAsia="宋体" w:cs="Times New Roman"/>
          <w:sz w:val="24"/>
        </w:rPr>
        <w:t>。</w:t>
      </w:r>
    </w:p>
    <w:p>
      <w:pPr>
        <w:spacing w:line="360" w:lineRule="auto"/>
        <w:ind w:firstLine="435"/>
        <w:rPr>
          <w:rFonts w:ascii="宋体" w:hAnsi="宋体" w:eastAsia="宋体" w:cs="Times New Roman"/>
          <w:sz w:val="24"/>
        </w:rPr>
      </w:pPr>
    </w:p>
    <w:p>
      <w:pPr>
        <w:spacing w:line="360" w:lineRule="auto"/>
        <w:ind w:firstLine="437"/>
        <w:outlineLvl w:val="1"/>
        <w:rPr>
          <w:rFonts w:ascii="宋体" w:hAnsi="宋体" w:eastAsia="宋体" w:cs="Times New Roman"/>
          <w:b/>
          <w:sz w:val="24"/>
        </w:rPr>
      </w:pPr>
      <w:bookmarkStart w:id="1" w:name="_Toc28453"/>
      <w:r>
        <w:rPr>
          <w:rFonts w:hint="eastAsia" w:ascii="宋体" w:hAnsi="宋体" w:eastAsia="宋体" w:cs="Times New Roman"/>
          <w:b/>
          <w:sz w:val="24"/>
        </w:rPr>
        <w:t>二、评审方法</w:t>
      </w:r>
      <w:bookmarkEnd w:id="1"/>
    </w:p>
    <w:p>
      <w:pPr>
        <w:spacing w:line="360" w:lineRule="auto"/>
        <w:ind w:firstLine="435"/>
        <w:outlineLvl w:val="2"/>
        <w:rPr>
          <w:rFonts w:ascii="宋体" w:hAnsi="宋体" w:eastAsia="宋体" w:cs="Times New Roman"/>
          <w:sz w:val="24"/>
        </w:rPr>
      </w:pPr>
      <w:r>
        <w:rPr>
          <w:rFonts w:hint="eastAsia" w:ascii="宋体" w:hAnsi="宋体" w:eastAsia="宋体" w:cs="Times New Roman"/>
          <w:sz w:val="24"/>
        </w:rPr>
        <w:t>2.1初审</w:t>
      </w:r>
    </w:p>
    <w:p>
      <w:pPr>
        <w:spacing w:line="360" w:lineRule="auto"/>
        <w:ind w:firstLine="435"/>
        <w:rPr>
          <w:rFonts w:ascii="宋体" w:hAnsi="宋体" w:eastAsia="宋体" w:cs="Times New Roman"/>
          <w:sz w:val="24"/>
        </w:rPr>
      </w:pPr>
      <w:r>
        <w:rPr>
          <w:rFonts w:hint="eastAsia" w:ascii="宋体" w:hAnsi="宋体" w:eastAsia="宋体" w:cs="Times New Roman"/>
          <w:sz w:val="24"/>
        </w:rPr>
        <w:t>采购小组对供应商的响应文件进行初审，以确定其是否满足采购文件的实质性要求。初审表如下：</w:t>
      </w:r>
    </w:p>
    <w:tbl>
      <w:tblPr>
        <w:tblStyle w:val="2"/>
        <w:tblpPr w:leftFromText="180" w:rightFromText="180" w:vertAnchor="text" w:horzAnchor="page" w:tblpX="1885" w:tblpY="531"/>
        <w:tblOverlap w:val="never"/>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71"/>
        <w:gridCol w:w="1623"/>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37" w:type="dxa"/>
            <w:gridSpan w:val="4"/>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序号</w:t>
            </w:r>
          </w:p>
        </w:tc>
        <w:tc>
          <w:tcPr>
            <w:tcW w:w="1371" w:type="dxa"/>
            <w:tcBorders>
              <w:bottom w:val="single" w:color="auto" w:sz="4" w:space="0"/>
            </w:tcBorders>
            <w:vAlign w:val="center"/>
          </w:tcPr>
          <w:p>
            <w:pPr>
              <w:widowControl w:val="0"/>
              <w:pBdr>
                <w:bottom w:val="none" w:color="auto" w:sz="0" w:space="0"/>
              </w:pBdr>
              <w:adjustRightInd w:val="0"/>
              <w:snapToGrid w:val="0"/>
              <w:spacing w:line="360" w:lineRule="auto"/>
              <w:ind w:right="-10"/>
              <w:jc w:val="center"/>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评审指标</w:t>
            </w:r>
          </w:p>
        </w:tc>
        <w:tc>
          <w:tcPr>
            <w:tcW w:w="1623"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评审标准</w:t>
            </w:r>
          </w:p>
        </w:tc>
        <w:tc>
          <w:tcPr>
            <w:tcW w:w="4546"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1</w:t>
            </w:r>
          </w:p>
        </w:tc>
        <w:tc>
          <w:tcPr>
            <w:tcW w:w="1371" w:type="dxa"/>
            <w:tcBorders>
              <w:bottom w:val="single" w:color="auto" w:sz="4" w:space="0"/>
            </w:tcBorders>
            <w:vAlign w:val="center"/>
          </w:tcPr>
          <w:p>
            <w:pPr>
              <w:spacing w:after="50" w:line="360" w:lineRule="auto"/>
              <w:ind w:right="-10"/>
              <w:jc w:val="center"/>
              <w:rPr>
                <w:rFonts w:ascii="宋体" w:hAnsi="宋体" w:eastAsia="宋体" w:cs="Times New Roman"/>
                <w:sz w:val="24"/>
                <w:szCs w:val="28"/>
              </w:rPr>
            </w:pPr>
            <w:r>
              <w:rPr>
                <w:rFonts w:hint="eastAsia" w:ascii="宋体" w:hAnsi="宋体" w:eastAsia="宋体" w:cs="Times New Roman"/>
                <w:sz w:val="24"/>
                <w:szCs w:val="28"/>
              </w:rPr>
              <w:t>营业执照</w:t>
            </w:r>
          </w:p>
        </w:tc>
        <w:tc>
          <w:tcPr>
            <w:tcW w:w="1623" w:type="dxa"/>
            <w:tcBorders>
              <w:bottom w:val="single" w:color="auto" w:sz="4" w:space="0"/>
            </w:tcBorders>
            <w:vAlign w:val="center"/>
          </w:tcPr>
          <w:p>
            <w:pPr>
              <w:spacing w:after="50" w:line="360" w:lineRule="auto"/>
              <w:ind w:right="-10"/>
              <w:jc w:val="center"/>
              <w:rPr>
                <w:rFonts w:ascii="宋体" w:hAnsi="宋体" w:eastAsia="宋体" w:cs="Times New Roman"/>
                <w:sz w:val="24"/>
                <w:szCs w:val="28"/>
              </w:rPr>
            </w:pPr>
            <w:r>
              <w:rPr>
                <w:rFonts w:hint="eastAsia" w:ascii="宋体" w:hAnsi="宋体" w:eastAsia="宋体" w:cs="Times New Roman"/>
                <w:sz w:val="24"/>
                <w:szCs w:val="28"/>
              </w:rPr>
              <w:t>合法有效</w:t>
            </w:r>
          </w:p>
        </w:tc>
        <w:tc>
          <w:tcPr>
            <w:tcW w:w="4546" w:type="dxa"/>
            <w:vAlign w:val="center"/>
          </w:tcPr>
          <w:p>
            <w:pPr>
              <w:spacing w:line="360" w:lineRule="auto"/>
              <w:jc w:val="left"/>
              <w:rPr>
                <w:rFonts w:ascii="宋体" w:hAnsi="宋体" w:eastAsia="宋体" w:cs="Times New Roman"/>
                <w:sz w:val="24"/>
              </w:rPr>
            </w:pPr>
            <w:r>
              <w:rPr>
                <w:rFonts w:hint="eastAsia" w:ascii="宋体" w:hAnsi="宋体" w:eastAsia="宋体" w:cs="Times New Roman"/>
                <w:sz w:val="24"/>
              </w:rPr>
              <w:t>提供有效的供应商营业执照（或事业单位法人登记证书）扫描件，应完整的体现出营业执照（或事业单位法人登记证书）的全部内容。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2</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sz w:val="24"/>
                <w:szCs w:val="18"/>
              </w:rPr>
            </w:pPr>
            <w:r>
              <w:rPr>
                <w:rFonts w:hint="eastAsia" w:ascii="宋体" w:hAnsi="宋体" w:eastAsia="宋体" w:cs="Times New Roman"/>
                <w:sz w:val="24"/>
                <w:szCs w:val="28"/>
              </w:rPr>
              <w:t>无重大违法、不良信用记录声明函</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格式、填写要求符合采购文件规定并加盖供应商公章</w:t>
            </w:r>
          </w:p>
        </w:tc>
        <w:tc>
          <w:tcPr>
            <w:tcW w:w="4546" w:type="dxa"/>
            <w:tcBorders>
              <w:bottom w:val="single" w:color="auto" w:sz="4" w:space="0"/>
            </w:tcBorders>
            <w:vAlign w:val="center"/>
          </w:tcPr>
          <w:p>
            <w:pPr>
              <w:adjustRightInd w:val="0"/>
              <w:snapToGrid w:val="0"/>
              <w:spacing w:line="360" w:lineRule="auto"/>
              <w:ind w:right="-10"/>
              <w:jc w:val="left"/>
              <w:rPr>
                <w:rFonts w:ascii="宋体" w:hAnsi="宋体" w:eastAsia="宋体" w:cs="@仿宋_GB2312"/>
                <w:sz w:val="24"/>
              </w:rPr>
            </w:pPr>
            <w:r>
              <w:rPr>
                <w:rFonts w:hint="eastAsia" w:ascii="宋体" w:hAnsi="宋体" w:eastAsia="宋体" w:cs="Times New Roman"/>
                <w:sz w:val="24"/>
              </w:rPr>
              <w:t>详见响应文件格式四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3</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采购响应函</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格式、填写要求符合采购文件规定并加盖供应商公章</w:t>
            </w:r>
          </w:p>
        </w:tc>
        <w:tc>
          <w:tcPr>
            <w:tcW w:w="4546" w:type="dxa"/>
            <w:tcBorders>
              <w:bottom w:val="single" w:color="auto" w:sz="4" w:space="0"/>
            </w:tcBorders>
            <w:vAlign w:val="center"/>
          </w:tcPr>
          <w:p>
            <w:pPr>
              <w:adjustRightInd w:val="0"/>
              <w:snapToGrid w:val="0"/>
              <w:spacing w:line="360" w:lineRule="auto"/>
              <w:ind w:right="-10"/>
              <w:jc w:val="left"/>
              <w:rPr>
                <w:rFonts w:ascii="宋体" w:hAnsi="宋体" w:eastAsia="宋体" w:cs="@仿宋_GB2312"/>
                <w:sz w:val="24"/>
              </w:rPr>
            </w:pPr>
            <w:r>
              <w:rPr>
                <w:rFonts w:hint="eastAsia" w:ascii="宋体" w:hAnsi="宋体" w:eastAsia="宋体" w:cs="Times New Roman"/>
                <w:sz w:val="24"/>
              </w:rPr>
              <w:t>详见响应文件格式三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4</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采购授权书</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格式、填写要求符合采购文件规定并加盖供应商公章</w:t>
            </w:r>
          </w:p>
        </w:tc>
        <w:tc>
          <w:tcPr>
            <w:tcW w:w="4546" w:type="dxa"/>
            <w:tcBorders>
              <w:bottom w:val="single" w:color="auto" w:sz="4" w:space="0"/>
            </w:tcBorders>
            <w:vAlign w:val="center"/>
          </w:tcPr>
          <w:p>
            <w:pPr>
              <w:adjustRightInd w:val="0"/>
              <w:snapToGrid w:val="0"/>
              <w:spacing w:line="360" w:lineRule="auto"/>
              <w:ind w:right="-10"/>
              <w:jc w:val="left"/>
              <w:rPr>
                <w:rFonts w:ascii="宋体" w:hAnsi="宋体" w:eastAsia="宋体" w:cs="@仿宋_GB2312"/>
                <w:sz w:val="24"/>
              </w:rPr>
            </w:pPr>
            <w:r>
              <w:rPr>
                <w:rFonts w:hint="eastAsia" w:ascii="宋体" w:hAnsi="宋体" w:eastAsia="宋体" w:cs="Times New Roman"/>
                <w:sz w:val="24"/>
              </w:rPr>
              <w:t>法定代表人参加采购的无需此件，提供身份证明即可。详见第六章响应文件格式五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5</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i/>
                <w:sz w:val="24"/>
              </w:rPr>
            </w:pPr>
            <w:r>
              <w:rPr>
                <w:rFonts w:hint="eastAsia" w:ascii="宋体" w:hAnsi="宋体" w:eastAsia="宋体" w:cs="Times New Roman"/>
                <w:sz w:val="24"/>
                <w:szCs w:val="28"/>
              </w:rPr>
              <w:t>采购文件获取情况</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在采购文件获取截止时间前完成采购文件获取</w:t>
            </w:r>
          </w:p>
        </w:tc>
        <w:tc>
          <w:tcPr>
            <w:tcW w:w="4546" w:type="dxa"/>
            <w:tcBorders>
              <w:bottom w:val="single" w:color="auto" w:sz="4" w:space="0"/>
            </w:tcBorders>
            <w:vAlign w:val="center"/>
          </w:tcPr>
          <w:p>
            <w:pPr>
              <w:spacing w:after="50" w:line="360" w:lineRule="auto"/>
              <w:ind w:right="-10"/>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6</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采购报价</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符合采购</w:t>
            </w:r>
            <w:r>
              <w:rPr>
                <w:rFonts w:hint="eastAsia" w:ascii="宋体" w:hAnsi="宋体" w:eastAsia="宋体" w:cs="Times New Roman"/>
                <w:sz w:val="24"/>
              </w:rPr>
              <w:t>文件供应商须知正文第1</w:t>
            </w:r>
            <w:r>
              <w:rPr>
                <w:rFonts w:ascii="宋体" w:hAnsi="宋体" w:eastAsia="宋体" w:cs="Times New Roman"/>
                <w:sz w:val="24"/>
              </w:rPr>
              <w:t>2</w:t>
            </w:r>
            <w:r>
              <w:rPr>
                <w:rFonts w:hint="eastAsia" w:ascii="宋体" w:hAnsi="宋体" w:eastAsia="宋体" w:cs="Times New Roman"/>
                <w:sz w:val="24"/>
              </w:rPr>
              <w:t>、22条要求</w:t>
            </w:r>
          </w:p>
        </w:tc>
        <w:tc>
          <w:tcPr>
            <w:tcW w:w="4549" w:type="dxa"/>
            <w:tcBorders>
              <w:bottom w:val="single" w:color="auto" w:sz="4" w:space="0"/>
            </w:tcBorders>
            <w:vAlign w:val="center"/>
          </w:tcPr>
          <w:p>
            <w:pPr>
              <w:adjustRightInd w:val="0"/>
              <w:snapToGrid w:val="0"/>
              <w:spacing w:line="360" w:lineRule="auto"/>
              <w:ind w:right="-10"/>
              <w:jc w:val="left"/>
              <w:rPr>
                <w:rFonts w:ascii="宋体" w:hAnsi="宋体" w:eastAsia="宋体" w:cs="@仿宋_GB2312"/>
                <w:sz w:val="24"/>
              </w:rPr>
            </w:pPr>
            <w:r>
              <w:rPr>
                <w:rFonts w:hint="eastAsia" w:ascii="宋体" w:hAnsi="宋体" w:eastAsia="宋体" w:cs="Times New Roman"/>
                <w:sz w:val="24"/>
              </w:rPr>
              <w:t>详见响应文件格式一、二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7</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商务响应情况</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符合采购文件采购需求中付款方式、服务期限、服务地点的要求</w:t>
            </w:r>
          </w:p>
        </w:tc>
        <w:tc>
          <w:tcPr>
            <w:tcW w:w="4549" w:type="dxa"/>
            <w:tcBorders>
              <w:bottom w:val="single" w:color="auto" w:sz="4" w:space="0"/>
            </w:tcBorders>
            <w:vAlign w:val="center"/>
          </w:tcPr>
          <w:p>
            <w:pPr>
              <w:adjustRightInd w:val="0"/>
              <w:snapToGrid w:val="0"/>
              <w:spacing w:line="360" w:lineRule="auto"/>
              <w:ind w:right="-10"/>
              <w:jc w:val="left"/>
              <w:rPr>
                <w:rFonts w:ascii="宋体" w:hAnsi="宋体" w:eastAsia="宋体" w:cs="@仿宋_GB2312"/>
                <w:sz w:val="24"/>
              </w:rPr>
            </w:pPr>
            <w:r>
              <w:rPr>
                <w:rFonts w:hint="eastAsia" w:ascii="宋体" w:hAnsi="宋体" w:eastAsia="宋体" w:cs="Times New Roman"/>
                <w:sz w:val="24"/>
              </w:rPr>
              <w:t>详见响应文件格式六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97"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 w:val="24"/>
              </w:rPr>
            </w:pPr>
            <w:r>
              <w:rPr>
                <w:rFonts w:hint="eastAsia" w:ascii="宋体" w:hAnsi="宋体" w:eastAsia="宋体" w:cs="Times New Roman"/>
                <w:sz w:val="24"/>
              </w:rPr>
              <w:t>8</w:t>
            </w:r>
          </w:p>
        </w:tc>
        <w:tc>
          <w:tcPr>
            <w:tcW w:w="1371"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其他要求</w:t>
            </w:r>
          </w:p>
        </w:tc>
        <w:tc>
          <w:tcPr>
            <w:tcW w:w="1623" w:type="dxa"/>
            <w:tcBorders>
              <w:bottom w:val="single" w:color="auto" w:sz="4" w:space="0"/>
            </w:tcBorders>
            <w:vAlign w:val="center"/>
          </w:tcPr>
          <w:p>
            <w:pPr>
              <w:spacing w:after="50" w:line="360" w:lineRule="auto"/>
              <w:ind w:right="-10"/>
              <w:jc w:val="center"/>
              <w:rPr>
                <w:rFonts w:ascii="宋体" w:hAnsi="宋体" w:eastAsia="宋体" w:cs="@仿宋_GB2312"/>
                <w:sz w:val="24"/>
                <w:szCs w:val="28"/>
              </w:rPr>
            </w:pPr>
            <w:r>
              <w:rPr>
                <w:rFonts w:hint="eastAsia" w:ascii="宋体" w:hAnsi="宋体" w:eastAsia="宋体" w:cs="Times New Roman"/>
                <w:sz w:val="24"/>
                <w:szCs w:val="28"/>
              </w:rPr>
              <w:t>符合法律、行政法规规定的其他条件或采购文件列明的其他要求</w:t>
            </w:r>
          </w:p>
        </w:tc>
        <w:tc>
          <w:tcPr>
            <w:tcW w:w="4549" w:type="dxa"/>
            <w:tcBorders>
              <w:bottom w:val="single" w:color="auto" w:sz="4" w:space="0"/>
            </w:tcBorders>
            <w:vAlign w:val="center"/>
          </w:tcPr>
          <w:p>
            <w:pPr>
              <w:adjustRightInd w:val="0"/>
              <w:snapToGrid w:val="0"/>
              <w:spacing w:line="360" w:lineRule="auto"/>
              <w:ind w:right="-10"/>
              <w:jc w:val="center"/>
              <w:rPr>
                <w:rFonts w:ascii="宋体" w:hAnsi="宋体" w:eastAsia="宋体" w:cs="@仿宋_GB2312"/>
                <w:sz w:val="24"/>
              </w:rPr>
            </w:pPr>
          </w:p>
        </w:tc>
      </w:tr>
    </w:tbl>
    <w:p>
      <w:pPr>
        <w:spacing w:line="360" w:lineRule="auto"/>
        <w:ind w:firstLine="435"/>
        <w:rPr>
          <w:rFonts w:ascii="宋体" w:hAnsi="宋体" w:eastAsia="宋体" w:cs="Times New Roman"/>
          <w:sz w:val="24"/>
        </w:rPr>
      </w:pPr>
      <w:r>
        <w:rPr>
          <w:rFonts w:hint="eastAsia" w:ascii="宋体" w:hAnsi="宋体" w:eastAsia="宋体" w:cs="Times New Roman"/>
          <w:b/>
          <w:bCs/>
          <w:sz w:val="24"/>
        </w:rPr>
        <w:t>初审指标通过标准：</w:t>
      </w:r>
      <w:r>
        <w:rPr>
          <w:rFonts w:hint="eastAsia" w:ascii="宋体" w:hAnsi="宋体" w:eastAsia="宋体" w:cs="Times New Roman"/>
          <w:sz w:val="24"/>
        </w:rPr>
        <w:t>供应商必须通过初审表中的全部评审指标。</w:t>
      </w:r>
    </w:p>
    <w:p>
      <w:pPr>
        <w:spacing w:line="360" w:lineRule="auto"/>
        <w:ind w:firstLine="435"/>
        <w:outlineLvl w:val="2"/>
        <w:rPr>
          <w:rFonts w:ascii="宋体" w:hAnsi="宋体" w:eastAsia="宋体" w:cs="Times New Roman"/>
          <w:b/>
          <w:sz w:val="24"/>
        </w:rPr>
      </w:pPr>
      <w:r>
        <w:rPr>
          <w:rFonts w:hint="eastAsia" w:ascii="宋体" w:hAnsi="宋体" w:eastAsia="宋体" w:cs="Times New Roman"/>
          <w:b/>
          <w:sz w:val="24"/>
        </w:rPr>
        <w:t>2.2综合评分</w:t>
      </w:r>
    </w:p>
    <w:p>
      <w:pPr>
        <w:spacing w:line="360" w:lineRule="auto"/>
        <w:ind w:firstLine="435"/>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2</w:t>
      </w:r>
      <w:r>
        <w:rPr>
          <w:rFonts w:ascii="宋体" w:hAnsi="宋体" w:eastAsia="宋体" w:cs="Times New Roman"/>
          <w:sz w:val="24"/>
        </w:rPr>
        <w:t>.1</w:t>
      </w:r>
      <w:r>
        <w:rPr>
          <w:rFonts w:hint="eastAsia" w:ascii="宋体" w:hAnsi="宋体" w:eastAsia="宋体" w:cs="Times New Roman"/>
          <w:sz w:val="24"/>
        </w:rPr>
        <w:t>采购小组按照下表对进入综合评分的所有供应商的响应文件进行综合评分。</w:t>
      </w:r>
    </w:p>
    <w:p>
      <w:pPr>
        <w:spacing w:line="360" w:lineRule="auto"/>
        <w:ind w:firstLine="435"/>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2</w:t>
      </w:r>
      <w:r>
        <w:rPr>
          <w:rFonts w:ascii="宋体" w:hAnsi="宋体" w:eastAsia="宋体" w:cs="Times New Roman"/>
          <w:sz w:val="24"/>
        </w:rPr>
        <w:t>.2</w:t>
      </w:r>
      <w:r>
        <w:rPr>
          <w:rFonts w:hint="eastAsia" w:ascii="宋体" w:hAnsi="宋体" w:eastAsia="宋体" w:cs="Times New Roman"/>
          <w:sz w:val="24"/>
        </w:rPr>
        <w:t>本项目综合评分满分为1</w:t>
      </w:r>
      <w:r>
        <w:rPr>
          <w:rFonts w:ascii="宋体" w:hAnsi="宋体" w:eastAsia="宋体" w:cs="Times New Roman"/>
          <w:sz w:val="24"/>
        </w:rPr>
        <w:t>00</w:t>
      </w:r>
      <w:r>
        <w:rPr>
          <w:rFonts w:hint="eastAsia" w:ascii="宋体" w:hAnsi="宋体" w:eastAsia="宋体" w:cs="Times New Roman"/>
          <w:sz w:val="24"/>
        </w:rPr>
        <w:t>分，其中：技术资信分值占总分值的权重为80</w:t>
      </w:r>
      <w:r>
        <w:rPr>
          <w:rFonts w:ascii="宋体" w:hAnsi="宋体" w:eastAsia="宋体" w:cs="Times New Roman"/>
          <w:sz w:val="24"/>
        </w:rPr>
        <w:t>%，价格分值占总分值的权重为</w:t>
      </w:r>
      <w:r>
        <w:rPr>
          <w:rFonts w:hint="eastAsia" w:ascii="宋体" w:hAnsi="宋体" w:eastAsia="宋体" w:cs="Times New Roman"/>
          <w:sz w:val="24"/>
        </w:rPr>
        <w:t>20</w:t>
      </w:r>
      <w:r>
        <w:rPr>
          <w:rFonts w:ascii="宋体" w:hAnsi="宋体" w:eastAsia="宋体" w:cs="Times New Roman"/>
          <w:sz w:val="24"/>
        </w:rPr>
        <w:t>%。具体评分细则如下：</w:t>
      </w:r>
    </w:p>
    <w:tbl>
      <w:tblPr>
        <w:tblStyle w:val="2"/>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320"/>
        <w:gridCol w:w="5138"/>
        <w:gridCol w:w="83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类别</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评分内容</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评分标准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技术资信分</w:t>
            </w:r>
          </w:p>
          <w:p>
            <w:pPr>
              <w:spacing w:line="360" w:lineRule="auto"/>
              <w:jc w:val="center"/>
              <w:rPr>
                <w:rFonts w:ascii="宋体" w:hAnsi="宋体" w:eastAsia="宋体" w:cs="宋体"/>
                <w:b/>
                <w:bCs/>
                <w:sz w:val="24"/>
              </w:rPr>
            </w:pPr>
            <w:r>
              <w:rPr>
                <w:rFonts w:hint="eastAsia" w:ascii="宋体" w:hAnsi="宋体" w:eastAsia="宋体" w:cs="宋体"/>
                <w:sz w:val="24"/>
              </w:rPr>
              <w:t>（80分）</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sz w:val="24"/>
              </w:rPr>
              <w:t>相关资质</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供应商具有《广播电视节目制作经营许可证》的，得6分。</w:t>
            </w:r>
          </w:p>
          <w:p>
            <w:pPr>
              <w:spacing w:line="360" w:lineRule="auto"/>
              <w:rPr>
                <w:rFonts w:ascii="宋体" w:hAnsi="宋体" w:eastAsia="宋体" w:cs="宋体"/>
                <w:sz w:val="24"/>
              </w:rPr>
            </w:pPr>
            <w:r>
              <w:rPr>
                <w:rFonts w:hint="eastAsia" w:ascii="宋体" w:hAnsi="宋体" w:eastAsia="宋体" w:cs="宋体"/>
                <w:b/>
                <w:bCs/>
                <w:sz w:val="24"/>
              </w:rPr>
              <w:t>注：响应文件中须提供证书扫描件。</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供应商奖项荣誉</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供应商承担的</w:t>
            </w:r>
            <w:r>
              <w:rPr>
                <w:rFonts w:hint="eastAsia" w:ascii="宋体" w:hAnsi="宋体" w:eastAsia="宋体" w:cs="宋体"/>
                <w:sz w:val="24"/>
                <w:lang w:val="en-US" w:eastAsia="zh-CN"/>
              </w:rPr>
              <w:t>动</w:t>
            </w:r>
            <w:r>
              <w:rPr>
                <w:rFonts w:hint="eastAsia" w:ascii="宋体" w:hAnsi="宋体" w:eastAsia="宋体" w:cs="宋体"/>
                <w:sz w:val="24"/>
              </w:rPr>
              <w:t>物为主题的三维科普视频制作项目获得省级及以上政府部门或国内依法登记注册的地市级及以上协会（学会）颁发的奖项荣誉，每个得2分，本项满分4分。</w:t>
            </w:r>
          </w:p>
          <w:p>
            <w:pPr>
              <w:jc w:val="left"/>
              <w:rPr>
                <w:rFonts w:ascii="宋体" w:hAnsi="宋体" w:eastAsia="宋体" w:cs="宋体"/>
                <w:b/>
                <w:bCs/>
                <w:color w:val="000000"/>
                <w:sz w:val="24"/>
              </w:rPr>
            </w:pPr>
            <w:r>
              <w:rPr>
                <w:rFonts w:hint="eastAsia" w:ascii="宋体" w:hAnsi="宋体" w:eastAsia="宋体" w:cs="宋体"/>
                <w:b/>
                <w:bCs/>
                <w:color w:val="000000"/>
                <w:sz w:val="24"/>
              </w:rPr>
              <w:t>注：（1）响应文件中提供获奖证书、批复、颁奖单位颁奖文件、网上公示截图（具有其中之一即可）等证明材料扫描件。</w:t>
            </w:r>
          </w:p>
          <w:p>
            <w:pPr>
              <w:jc w:val="left"/>
              <w:rPr>
                <w:rFonts w:ascii="宋体" w:hAnsi="宋体" w:eastAsia="宋体" w:cs="宋体"/>
                <w:b/>
                <w:bCs/>
                <w:color w:val="000000"/>
                <w:sz w:val="24"/>
              </w:rPr>
            </w:pPr>
            <w:r>
              <w:rPr>
                <w:rFonts w:hint="eastAsia" w:ascii="宋体" w:hAnsi="宋体" w:eastAsia="宋体" w:cs="宋体"/>
                <w:b/>
                <w:bCs/>
                <w:color w:val="000000"/>
                <w:sz w:val="24"/>
              </w:rPr>
              <w:t>（2）“国内依法登记注册”以全国社会组织信用信息公示平台查询结果为准。响应文件中须提供该协会（学会）在全国社会组织信用信息公示平台查询结果截图。民政部公布的“离岸社团”“山寨社团”或全国社会组织信用信息公示平台公示的“涉嫌非法社会组织”颁发的荣誉、奖励均无效。</w:t>
            </w:r>
          </w:p>
          <w:p>
            <w:pPr>
              <w:jc w:val="left"/>
              <w:rPr>
                <w:rFonts w:ascii="宋体" w:hAnsi="宋体" w:eastAsia="宋体" w:cs="宋体"/>
                <w:b/>
                <w:bCs/>
                <w:color w:val="000000"/>
                <w:sz w:val="24"/>
              </w:rPr>
            </w:pPr>
            <w:r>
              <w:rPr>
                <w:rFonts w:hint="eastAsia" w:ascii="宋体" w:hAnsi="宋体" w:eastAsia="宋体" w:cs="宋体"/>
                <w:b/>
                <w:bCs/>
                <w:color w:val="000000"/>
                <w:sz w:val="24"/>
              </w:rPr>
              <w:t>（3）荣誉级别以国家行政区划为界定，如：地级市、自治州、地区、盟政府部门和冠以地级市、自治州、地区、盟的协会（学会）颁发的视为地市级，以此类推。</w:t>
            </w:r>
          </w:p>
          <w:p>
            <w:pPr>
              <w:spacing w:line="360" w:lineRule="auto"/>
              <w:rPr>
                <w:rFonts w:ascii="宋体" w:hAnsi="宋体" w:eastAsia="宋体" w:cs="宋体"/>
                <w:sz w:val="24"/>
              </w:rPr>
            </w:pPr>
            <w:r>
              <w:rPr>
                <w:rFonts w:hint="eastAsia" w:ascii="宋体" w:hAnsi="宋体" w:eastAsia="宋体" w:cs="宋体"/>
                <w:b/>
                <w:bCs/>
                <w:color w:val="000000"/>
                <w:sz w:val="24"/>
              </w:rPr>
              <w:t>（4）响应文件中须提供荣誉对应项目的合同扫描件或其他可证明文件。</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供应商业绩</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自2020年1月1日</w:t>
            </w:r>
            <w:r>
              <w:rPr>
                <w:rFonts w:hint="eastAsia" w:ascii="宋体" w:hAnsi="宋体" w:eastAsia="宋体" w:cs="宋体"/>
                <w:b/>
                <w:bCs/>
                <w:sz w:val="24"/>
              </w:rPr>
              <w:t>（以合同签订时间为准）</w:t>
            </w:r>
            <w:r>
              <w:rPr>
                <w:rFonts w:hint="eastAsia" w:ascii="宋体" w:hAnsi="宋体" w:eastAsia="宋体" w:cs="宋体"/>
                <w:sz w:val="24"/>
              </w:rPr>
              <w:t>以来，供应商具有下列业绩的：</w:t>
            </w:r>
          </w:p>
          <w:p>
            <w:pPr>
              <w:spacing w:line="360" w:lineRule="auto"/>
              <w:jc w:val="left"/>
              <w:rPr>
                <w:rFonts w:ascii="宋体" w:hAnsi="宋体" w:eastAsia="宋体" w:cs="宋体"/>
                <w:sz w:val="24"/>
              </w:rPr>
            </w:pPr>
            <w:r>
              <w:rPr>
                <w:rFonts w:hint="eastAsia" w:ascii="宋体" w:hAnsi="宋体" w:eastAsia="宋体" w:cs="宋体"/>
                <w:sz w:val="24"/>
              </w:rPr>
              <w:t>1.具有以古生物为主题的三维科普视频制作项目业绩，每个得3分，最高6分；</w:t>
            </w:r>
          </w:p>
          <w:p>
            <w:pPr>
              <w:spacing w:line="360" w:lineRule="auto"/>
              <w:jc w:val="left"/>
              <w:rPr>
                <w:rFonts w:ascii="宋体" w:hAnsi="宋体" w:eastAsia="宋体" w:cs="宋体"/>
                <w:sz w:val="24"/>
              </w:rPr>
            </w:pPr>
            <w:r>
              <w:rPr>
                <w:rFonts w:hint="eastAsia" w:ascii="宋体" w:hAnsi="宋体" w:eastAsia="宋体" w:cs="宋体"/>
                <w:sz w:val="24"/>
              </w:rPr>
              <w:t>2.具有党政机关（或事业单位）委托的科普视频制作项目业绩，每个得3分，最高6分。</w:t>
            </w:r>
          </w:p>
          <w:p>
            <w:pPr>
              <w:jc w:val="left"/>
              <w:rPr>
                <w:rFonts w:ascii="宋体" w:hAnsi="宋体" w:eastAsia="宋体" w:cs="宋体"/>
                <w:b/>
                <w:bCs/>
                <w:color w:val="000000"/>
                <w:sz w:val="24"/>
              </w:rPr>
            </w:pPr>
            <w:r>
              <w:rPr>
                <w:rFonts w:hint="eastAsia" w:ascii="宋体" w:hAnsi="宋体" w:eastAsia="宋体" w:cs="宋体"/>
                <w:b/>
                <w:bCs/>
                <w:color w:val="000000"/>
                <w:sz w:val="24"/>
              </w:rPr>
              <w:t>注：（1）响应文件中提供业绩合同扫描件，如合同中无法体现合同签订时间、项目内容等关键评审因素的，需另附业主单位（合同甲方）出具的证明材料扫描件。</w:t>
            </w:r>
          </w:p>
          <w:p>
            <w:pPr>
              <w:jc w:val="left"/>
              <w:rPr>
                <w:rFonts w:ascii="宋体" w:hAnsi="宋体" w:eastAsia="宋体" w:cs="宋体"/>
                <w:b/>
                <w:bCs/>
                <w:color w:val="000000"/>
                <w:sz w:val="24"/>
              </w:rPr>
            </w:pPr>
            <w:r>
              <w:rPr>
                <w:rFonts w:hint="eastAsia" w:ascii="宋体" w:hAnsi="宋体" w:eastAsia="宋体" w:cs="宋体"/>
                <w:b/>
                <w:bCs/>
                <w:color w:val="000000"/>
                <w:sz w:val="24"/>
              </w:rPr>
              <w:t>（2）正在履约的和已完成项目业绩均予以认可。</w:t>
            </w:r>
          </w:p>
          <w:p>
            <w:pPr>
              <w:jc w:val="left"/>
              <w:rPr>
                <w:rFonts w:ascii="宋体" w:hAnsi="宋体" w:eastAsia="宋体" w:cs="宋体"/>
                <w:sz w:val="24"/>
              </w:rPr>
            </w:pPr>
            <w:r>
              <w:rPr>
                <w:rFonts w:hint="eastAsia" w:ascii="宋体" w:hAnsi="宋体" w:eastAsia="宋体" w:cs="宋体"/>
                <w:b/>
                <w:bCs/>
                <w:color w:val="000000"/>
                <w:sz w:val="24"/>
              </w:rPr>
              <w:t>（3）党政机关包括党的机关、人大机关、行政机关、政协机关、审判机关、检察机关、及各级党政机关派出机构、直属事业单位及工会、共青团、妇联等。</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7"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科普片内容剧本编制</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lang w:val="zh-CN"/>
              </w:rPr>
              <w:t>根据采购需求自行编写</w:t>
            </w:r>
            <w:r>
              <w:rPr>
                <w:rFonts w:hint="eastAsia" w:ascii="宋体" w:hAnsi="宋体" w:eastAsia="宋体" w:cs="宋体"/>
                <w:sz w:val="24"/>
              </w:rPr>
              <w:t>影片</w:t>
            </w:r>
            <w:r>
              <w:rPr>
                <w:rFonts w:hint="eastAsia" w:ascii="宋体" w:hAnsi="宋体" w:eastAsia="宋体" w:cs="宋体"/>
                <w:sz w:val="24"/>
                <w:lang w:val="zh-CN"/>
              </w:rPr>
              <w:t>剧本，</w:t>
            </w:r>
            <w:r>
              <w:rPr>
                <w:rFonts w:hint="eastAsia" w:ascii="宋体" w:hAnsi="宋体" w:eastAsia="宋体" w:cs="宋体"/>
                <w:sz w:val="24"/>
              </w:rPr>
              <w:t>需兼顾科学性与故事性，立意需积极正向，内容表述完整。结构清晰，段落划分合理。采购小组根据供应商提供的科普片内容剧本文本编撰及画面表达情况进行评审：</w:t>
            </w:r>
          </w:p>
          <w:p>
            <w:pPr>
              <w:spacing w:line="360" w:lineRule="auto"/>
              <w:jc w:val="left"/>
              <w:rPr>
                <w:rFonts w:ascii="宋体" w:hAnsi="宋体" w:eastAsia="宋体" w:cs="宋体"/>
                <w:sz w:val="24"/>
              </w:rPr>
            </w:pPr>
            <w:r>
              <w:rPr>
                <w:rFonts w:hint="eastAsia" w:ascii="宋体" w:hAnsi="宋体" w:eastAsia="宋体" w:cs="宋体"/>
                <w:sz w:val="24"/>
              </w:rPr>
              <w:t>（1）科学性与故事性兼具并融合巧妙，创意新颖，立意深远正向积极，内容表述完整。结构清晰，段落划分合理，得10分；</w:t>
            </w:r>
          </w:p>
          <w:p>
            <w:pPr>
              <w:spacing w:line="360" w:lineRule="auto"/>
              <w:jc w:val="left"/>
              <w:rPr>
                <w:rFonts w:ascii="宋体" w:hAnsi="宋体" w:eastAsia="宋体" w:cs="宋体"/>
                <w:sz w:val="24"/>
              </w:rPr>
            </w:pPr>
            <w:r>
              <w:rPr>
                <w:rFonts w:hint="eastAsia" w:ascii="宋体" w:hAnsi="宋体" w:eastAsia="宋体" w:cs="宋体"/>
                <w:sz w:val="24"/>
              </w:rPr>
              <w:t>（2）科学性与故事性兼具并融合较巧妙，创意较新颖，立意正向积极，内容表述较完整。结构较清晰，段落划分较合理，得5分；</w:t>
            </w:r>
          </w:p>
          <w:p>
            <w:pPr>
              <w:spacing w:line="360" w:lineRule="auto"/>
              <w:jc w:val="left"/>
              <w:rPr>
                <w:rFonts w:ascii="宋体" w:hAnsi="宋体" w:eastAsia="宋体" w:cs="宋体"/>
                <w:sz w:val="24"/>
              </w:rPr>
            </w:pPr>
            <w:r>
              <w:rPr>
                <w:rFonts w:hint="eastAsia" w:ascii="宋体" w:hAnsi="宋体" w:eastAsia="宋体" w:cs="宋体"/>
                <w:sz w:val="24"/>
              </w:rPr>
              <w:t>（3）科学性与故事性结合有待提升，有一定创新，立意正向，内容可自洽，结构段落清晰，得3分；</w:t>
            </w:r>
          </w:p>
          <w:p>
            <w:pPr>
              <w:spacing w:line="360" w:lineRule="auto"/>
              <w:jc w:val="left"/>
              <w:rPr>
                <w:rFonts w:ascii="宋体" w:hAnsi="宋体" w:eastAsia="宋体" w:cs="宋体"/>
                <w:sz w:val="24"/>
              </w:rPr>
            </w:pPr>
            <w:r>
              <w:rPr>
                <w:rFonts w:hint="eastAsia" w:ascii="宋体" w:hAnsi="宋体" w:eastAsia="宋体" w:cs="宋体"/>
                <w:sz w:val="24"/>
              </w:rPr>
              <w:t>（4）未提供剧本，或剧本严重不符合基本要求（偏离主题或存在明显剧情抄袭的情况）得0分。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highlight w:val="yellow"/>
              </w:rPr>
            </w:pPr>
            <w:r>
              <w:rPr>
                <w:rFonts w:hint="eastAsia" w:ascii="宋体" w:hAnsi="宋体" w:eastAsia="宋体" w:cs="宋体"/>
                <w:sz w:val="24"/>
              </w:rPr>
              <w:t>项目实施进度计划</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采购小组根据供应商提供的项目实施进度计划进行综合评审：</w:t>
            </w:r>
          </w:p>
          <w:p>
            <w:pPr>
              <w:spacing w:line="360" w:lineRule="auto"/>
              <w:jc w:val="left"/>
              <w:rPr>
                <w:rFonts w:ascii="宋体" w:hAnsi="宋体" w:eastAsia="宋体" w:cs="宋体"/>
                <w:sz w:val="24"/>
              </w:rPr>
            </w:pPr>
            <w:r>
              <w:rPr>
                <w:rFonts w:hint="eastAsia" w:ascii="宋体" w:hAnsi="宋体" w:eastAsia="宋体" w:cs="宋体"/>
                <w:sz w:val="24"/>
              </w:rPr>
              <w:t>(1)对本项目特点和难点理解准确，项目实施进度计划优于本项目采购需求，完整详细，可行性、实用性、针对性强，得8分；</w:t>
            </w:r>
          </w:p>
          <w:p>
            <w:pPr>
              <w:spacing w:line="360" w:lineRule="auto"/>
              <w:jc w:val="left"/>
              <w:rPr>
                <w:rFonts w:ascii="宋体" w:hAnsi="宋体" w:eastAsia="宋体" w:cs="宋体"/>
                <w:sz w:val="24"/>
              </w:rPr>
            </w:pPr>
            <w:r>
              <w:rPr>
                <w:rFonts w:hint="eastAsia" w:ascii="宋体" w:hAnsi="宋体" w:eastAsia="宋体" w:cs="宋体"/>
                <w:sz w:val="24"/>
              </w:rPr>
              <w:t>(2)对本项目特点和难点理解基本准确，项目实施进度计划适合本项目采购需求，完整详细，具有可行性、实用性和针对性，得5分；</w:t>
            </w:r>
          </w:p>
          <w:p>
            <w:pPr>
              <w:spacing w:line="360" w:lineRule="auto"/>
              <w:jc w:val="left"/>
              <w:rPr>
                <w:rFonts w:ascii="宋体" w:hAnsi="宋体" w:eastAsia="宋体" w:cs="宋体"/>
                <w:sz w:val="24"/>
              </w:rPr>
            </w:pPr>
            <w:r>
              <w:rPr>
                <w:rFonts w:hint="eastAsia" w:ascii="宋体" w:hAnsi="宋体" w:eastAsia="宋体" w:cs="宋体"/>
                <w:sz w:val="24"/>
              </w:rPr>
              <w:t>(3)对本项目特点和难点理解有待提升项目实施进度计划基本适合本项目采购需求，可行性、实用性、针对性有待改善，得2分；</w:t>
            </w:r>
          </w:p>
          <w:p>
            <w:pPr>
              <w:spacing w:line="360" w:lineRule="auto"/>
              <w:jc w:val="left"/>
              <w:rPr>
                <w:rFonts w:ascii="宋体" w:hAnsi="宋体" w:eastAsia="宋体" w:cs="宋体"/>
                <w:sz w:val="24"/>
              </w:rPr>
            </w:pPr>
            <w:r>
              <w:rPr>
                <w:rFonts w:hint="eastAsia" w:ascii="宋体" w:hAnsi="宋体" w:eastAsia="宋体" w:cs="宋体"/>
                <w:sz w:val="24"/>
              </w:rPr>
              <w:t>(4)方案不可行或者未提供得0分。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团队人员</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采购小组根据供应商提供的拟派团队人员情况，针对本项目组织机构，人员管理机制，主要管理人员及专业人员配置等人力配置情况，人员数量、类似工作经验等情况进行综合评审：</w:t>
            </w:r>
          </w:p>
          <w:p>
            <w:pPr>
              <w:numPr>
                <w:ilvl w:val="0"/>
                <w:numId w:val="1"/>
              </w:numPr>
              <w:spacing w:line="360" w:lineRule="auto"/>
              <w:rPr>
                <w:rFonts w:ascii="宋体" w:hAnsi="宋体" w:eastAsia="宋体" w:cs="宋体"/>
                <w:sz w:val="24"/>
              </w:rPr>
            </w:pPr>
            <w:r>
              <w:rPr>
                <w:rFonts w:hint="eastAsia" w:ascii="宋体" w:hAnsi="宋体" w:eastAsia="宋体" w:cs="宋体"/>
                <w:sz w:val="24"/>
              </w:rPr>
              <w:t>人员管理机制完善，人员配备非常充足，管理人员针对同类项目的工作经验非常丰富，得10分；</w:t>
            </w:r>
          </w:p>
          <w:p>
            <w:pPr>
              <w:spacing w:line="360" w:lineRule="auto"/>
              <w:rPr>
                <w:rFonts w:ascii="宋体" w:hAnsi="宋体" w:eastAsia="宋体" w:cs="宋体"/>
                <w:sz w:val="24"/>
              </w:rPr>
            </w:pPr>
            <w:r>
              <w:rPr>
                <w:rFonts w:hint="eastAsia" w:ascii="宋体" w:hAnsi="宋体" w:eastAsia="宋体" w:cs="宋体"/>
                <w:sz w:val="24"/>
              </w:rPr>
              <w:t>（2）人员管理机制较完善，人员配备较充足，管理人员针对同类项目的工作经验较丰富，得6分；</w:t>
            </w:r>
          </w:p>
          <w:p>
            <w:pPr>
              <w:spacing w:line="360" w:lineRule="auto"/>
              <w:rPr>
                <w:rFonts w:ascii="宋体" w:hAnsi="宋体" w:eastAsia="宋体" w:cs="宋体"/>
                <w:sz w:val="24"/>
              </w:rPr>
            </w:pPr>
            <w:r>
              <w:rPr>
                <w:rFonts w:hint="eastAsia" w:ascii="宋体" w:hAnsi="宋体" w:eastAsia="宋体" w:cs="宋体"/>
                <w:sz w:val="24"/>
              </w:rPr>
              <w:t>（3）人员管理机制较一般，人员配备一般，管理人员针对同类项目的工作经验一般，得2分；</w:t>
            </w:r>
          </w:p>
          <w:p>
            <w:pPr>
              <w:spacing w:line="360" w:lineRule="auto"/>
              <w:rPr>
                <w:rFonts w:ascii="宋体" w:hAnsi="宋体" w:eastAsia="宋体" w:cs="宋体"/>
                <w:sz w:val="24"/>
              </w:rPr>
            </w:pPr>
            <w:r>
              <w:rPr>
                <w:rFonts w:hint="eastAsia" w:ascii="宋体" w:hAnsi="宋体" w:eastAsia="宋体" w:cs="宋体"/>
                <w:sz w:val="24"/>
              </w:rPr>
              <w:t>（4）人员管理机制较差，人员配备有所欠缺，管理人员针对同类项目的工作经验较少，得0分。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项目物力</w:t>
            </w:r>
          </w:p>
          <w:p>
            <w:pPr>
              <w:spacing w:line="360" w:lineRule="auto"/>
              <w:jc w:val="center"/>
              <w:rPr>
                <w:rFonts w:ascii="宋体" w:hAnsi="宋体" w:eastAsia="宋体" w:cs="宋体"/>
                <w:sz w:val="24"/>
              </w:rPr>
            </w:pPr>
            <w:r>
              <w:rPr>
                <w:rFonts w:hint="eastAsia" w:ascii="宋体" w:hAnsi="宋体" w:eastAsia="宋体" w:cs="宋体"/>
                <w:sz w:val="24"/>
              </w:rPr>
              <w:t>配置情况</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采购小组根据供应商提供的项目物力配置情况，针对本项目设施、设备等配置情况，各硬件设备其种类、型号、数量、性能等情况满足需求的程度以及项目服务期设施、设备、耗材等的使用计划进行综合评审：</w:t>
            </w:r>
          </w:p>
          <w:p>
            <w:pPr>
              <w:spacing w:line="360" w:lineRule="auto"/>
              <w:rPr>
                <w:rFonts w:ascii="宋体" w:hAnsi="宋体" w:eastAsia="宋体" w:cs="宋体"/>
                <w:sz w:val="24"/>
              </w:rPr>
            </w:pPr>
            <w:r>
              <w:rPr>
                <w:rFonts w:hint="eastAsia" w:ascii="宋体" w:hAnsi="宋体" w:eastAsia="宋体" w:cs="宋体"/>
                <w:sz w:val="24"/>
              </w:rPr>
              <w:t>（1）拟投入本项目的设施、设备充足完善配置优于采购要求，使用计划合理可行，得5分；</w:t>
            </w:r>
          </w:p>
          <w:p>
            <w:pPr>
              <w:spacing w:line="360" w:lineRule="auto"/>
              <w:rPr>
                <w:rFonts w:ascii="宋体" w:hAnsi="宋体" w:eastAsia="宋体" w:cs="宋体"/>
                <w:sz w:val="24"/>
              </w:rPr>
            </w:pPr>
            <w:r>
              <w:rPr>
                <w:rFonts w:hint="eastAsia" w:ascii="宋体" w:hAnsi="宋体" w:eastAsia="宋体" w:cs="宋体"/>
                <w:sz w:val="24"/>
              </w:rPr>
              <w:t>（2）拟投入本项目的设施、设备配置满足采购要求，使用计划合理，得4分；</w:t>
            </w:r>
          </w:p>
          <w:p>
            <w:pPr>
              <w:spacing w:line="360" w:lineRule="auto"/>
              <w:rPr>
                <w:rFonts w:ascii="宋体" w:hAnsi="宋体" w:eastAsia="宋体" w:cs="宋体"/>
                <w:sz w:val="24"/>
              </w:rPr>
            </w:pPr>
            <w:r>
              <w:rPr>
                <w:rFonts w:hint="eastAsia" w:ascii="宋体" w:hAnsi="宋体" w:eastAsia="宋体" w:cs="宋体"/>
                <w:sz w:val="24"/>
              </w:rPr>
              <w:t>（3）拟投入本项目的设施、设备配置一般，得2分；</w:t>
            </w:r>
          </w:p>
          <w:p>
            <w:pPr>
              <w:spacing w:line="360" w:lineRule="auto"/>
              <w:rPr>
                <w:rFonts w:ascii="宋体" w:hAnsi="宋体" w:eastAsia="宋体" w:cs="宋体"/>
                <w:sz w:val="24"/>
              </w:rPr>
            </w:pPr>
            <w:r>
              <w:rPr>
                <w:rFonts w:hint="eastAsia" w:ascii="宋体" w:hAnsi="宋体" w:eastAsia="宋体" w:cs="宋体"/>
                <w:sz w:val="24"/>
              </w:rPr>
              <w:t>（4）拟投入本项目的设施、设备及使用计划无法满足采购要求的，得0分。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服务质量保证措施</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采购小组根据供应商提供的服务质量保证措施情况，针对项目实施保证措施、质量保证计划、风险分析及应对措施和项目结束后与业主单位的协作衔接等方面的方案进行综合评审：</w:t>
            </w:r>
          </w:p>
          <w:p>
            <w:pPr>
              <w:spacing w:line="360" w:lineRule="auto"/>
              <w:rPr>
                <w:rFonts w:ascii="宋体" w:hAnsi="宋体" w:eastAsia="宋体" w:cs="宋体"/>
                <w:sz w:val="24"/>
              </w:rPr>
            </w:pPr>
            <w:r>
              <w:rPr>
                <w:rFonts w:hint="eastAsia" w:ascii="宋体" w:hAnsi="宋体" w:eastAsia="宋体" w:cs="宋体"/>
                <w:sz w:val="24"/>
              </w:rPr>
              <w:t>（1）能够充分保障项目实施，确保项目质量，严格按照项目计划进度执行，方案针对性强，完全满足需求，得8分；</w:t>
            </w:r>
          </w:p>
          <w:p>
            <w:pPr>
              <w:spacing w:line="360" w:lineRule="auto"/>
              <w:rPr>
                <w:rFonts w:ascii="宋体" w:hAnsi="宋体" w:eastAsia="宋体" w:cs="宋体"/>
                <w:sz w:val="24"/>
              </w:rPr>
            </w:pPr>
            <w:r>
              <w:rPr>
                <w:rFonts w:hint="eastAsia" w:ascii="宋体" w:hAnsi="宋体" w:eastAsia="宋体" w:cs="宋体"/>
                <w:sz w:val="24"/>
              </w:rPr>
              <w:t>（2）能够基本保障项目实施，确保项目质量，基本按照项目计划进度执行，方案有针对性，基本满足需求得5分；</w:t>
            </w:r>
          </w:p>
          <w:p>
            <w:pPr>
              <w:spacing w:line="360" w:lineRule="auto"/>
              <w:rPr>
                <w:rFonts w:ascii="宋体" w:hAnsi="宋体" w:eastAsia="宋体" w:cs="宋体"/>
                <w:sz w:val="24"/>
              </w:rPr>
            </w:pPr>
            <w:r>
              <w:rPr>
                <w:rFonts w:hint="eastAsia" w:ascii="宋体" w:hAnsi="宋体" w:eastAsia="宋体" w:cs="宋体"/>
                <w:sz w:val="24"/>
              </w:rPr>
              <w:t>（3）项目保障措施有待提升，项目质量有一定保障，按照项目计划进度执行方案有待提升，部分满足需求得3分；</w:t>
            </w:r>
          </w:p>
          <w:p>
            <w:pPr>
              <w:spacing w:line="360" w:lineRule="auto"/>
              <w:rPr>
                <w:rFonts w:ascii="宋体" w:hAnsi="宋体" w:eastAsia="宋体" w:cs="宋体"/>
                <w:sz w:val="24"/>
              </w:rPr>
            </w:pPr>
            <w:r>
              <w:rPr>
                <w:rFonts w:hint="eastAsia" w:ascii="宋体" w:hAnsi="宋体" w:eastAsia="宋体" w:cs="宋体"/>
                <w:sz w:val="24"/>
              </w:rPr>
              <w:t>（4）方案无法满足需求得0分。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7"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案例或样片演示</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采购小组根据供应商提供的与本项目招标内容相关的案例或样片演示情况进行综合评审：</w:t>
            </w:r>
          </w:p>
          <w:p>
            <w:pPr>
              <w:spacing w:line="360" w:lineRule="auto"/>
              <w:jc w:val="left"/>
              <w:rPr>
                <w:rFonts w:ascii="宋体" w:hAnsi="宋体" w:eastAsia="宋体" w:cs="宋体"/>
                <w:sz w:val="24"/>
              </w:rPr>
            </w:pPr>
            <w:r>
              <w:rPr>
                <w:rFonts w:hint="eastAsia" w:ascii="宋体" w:hAnsi="宋体" w:eastAsia="宋体" w:cs="宋体"/>
                <w:sz w:val="24"/>
              </w:rPr>
              <w:t>（1）光影关系真实，色彩明快，画面清晰；物种模型质量高，动作表情自然、真实，应具有较强的画面代入感，得10分；</w:t>
            </w:r>
          </w:p>
          <w:p>
            <w:pPr>
              <w:spacing w:line="360" w:lineRule="auto"/>
              <w:jc w:val="left"/>
              <w:rPr>
                <w:rFonts w:ascii="宋体" w:hAnsi="宋体" w:eastAsia="宋体" w:cs="宋体"/>
                <w:sz w:val="24"/>
              </w:rPr>
            </w:pPr>
            <w:r>
              <w:rPr>
                <w:rFonts w:hint="eastAsia" w:ascii="宋体" w:hAnsi="宋体" w:eastAsia="宋体" w:cs="宋体"/>
                <w:sz w:val="24"/>
              </w:rPr>
              <w:t>（2）光影关系尚可，色彩有层次区别，画面清楚，物种模型质量一般，具备一定的动作表情，代入感一般，得5分；</w:t>
            </w:r>
          </w:p>
          <w:p>
            <w:pPr>
              <w:spacing w:line="360" w:lineRule="auto"/>
              <w:jc w:val="left"/>
              <w:rPr>
                <w:rFonts w:ascii="宋体" w:hAnsi="宋体" w:eastAsia="宋体" w:cs="宋体"/>
                <w:sz w:val="24"/>
              </w:rPr>
            </w:pPr>
            <w:r>
              <w:rPr>
                <w:rFonts w:hint="eastAsia" w:ascii="宋体" w:hAnsi="宋体" w:eastAsia="宋体" w:cs="宋体"/>
                <w:sz w:val="24"/>
              </w:rPr>
              <w:t>（3）光影关系混乱，画面平淡，层次薄弱，无临场体验感，物种模型质量低，动作表情虚假、僵硬，得2分；</w:t>
            </w:r>
          </w:p>
          <w:p>
            <w:pPr>
              <w:spacing w:line="360" w:lineRule="auto"/>
              <w:jc w:val="left"/>
              <w:rPr>
                <w:rFonts w:ascii="宋体" w:hAnsi="宋体" w:eastAsia="宋体" w:cs="宋体"/>
                <w:sz w:val="24"/>
              </w:rPr>
            </w:pPr>
            <w:r>
              <w:rPr>
                <w:rFonts w:hint="eastAsia" w:ascii="宋体" w:hAnsi="宋体" w:eastAsia="宋体" w:cs="宋体"/>
                <w:sz w:val="24"/>
              </w:rPr>
              <w:t>（4）未提供或提供得内容不符合要求的，得0分。</w:t>
            </w:r>
          </w:p>
          <w:p>
            <w:pPr>
              <w:spacing w:line="360" w:lineRule="auto"/>
              <w:jc w:val="left"/>
              <w:rPr>
                <w:rFonts w:ascii="宋体" w:hAnsi="宋体" w:eastAsia="宋体" w:cs="宋体"/>
                <w:sz w:val="24"/>
              </w:rPr>
            </w:pPr>
            <w:r>
              <w:rPr>
                <w:rFonts w:hint="eastAsia" w:ascii="宋体" w:hAnsi="宋体" w:eastAsia="宋体" w:cs="宋体"/>
                <w:b/>
                <w:bCs/>
                <w:sz w:val="24"/>
              </w:rPr>
              <w:t>备注：此演示视频文件为mp4格式，随响应文件电子版以u盘方式密封递交即可。</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jc w:val="center"/>
        </w:trPr>
        <w:tc>
          <w:tcPr>
            <w:tcW w:w="1137" w:type="dxa"/>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cs="宋体"/>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物种3D复原</w:t>
            </w:r>
          </w:p>
        </w:tc>
        <w:tc>
          <w:tcPr>
            <w:tcW w:w="5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供应商根据采购文件提供的物种名复原三维恐龙，提供渲染效果图（侧视图，前视图，顶视图，透视图），采购小组根据供应商提供的渲染效果图情况进行综合评审：</w:t>
            </w:r>
          </w:p>
          <w:p>
            <w:pPr>
              <w:spacing w:line="360" w:lineRule="auto"/>
              <w:rPr>
                <w:rFonts w:ascii="宋体" w:hAnsi="宋体" w:eastAsia="宋体" w:cs="宋体"/>
                <w:sz w:val="24"/>
              </w:rPr>
            </w:pPr>
            <w:r>
              <w:rPr>
                <w:rFonts w:hint="eastAsia" w:ascii="宋体" w:hAnsi="宋体" w:eastAsia="宋体" w:cs="宋体"/>
                <w:sz w:val="24"/>
              </w:rPr>
              <w:t>（1）复原模型的科学性高、精细度高、贴图细致细节表现强逼真且质感强，得7分；</w:t>
            </w:r>
          </w:p>
          <w:p>
            <w:pPr>
              <w:spacing w:line="360" w:lineRule="auto"/>
              <w:rPr>
                <w:rFonts w:ascii="宋体" w:hAnsi="宋体" w:eastAsia="宋体" w:cs="宋体"/>
                <w:sz w:val="24"/>
              </w:rPr>
            </w:pPr>
            <w:r>
              <w:rPr>
                <w:rFonts w:hint="eastAsia" w:ascii="宋体" w:hAnsi="宋体" w:eastAsia="宋体" w:cs="宋体"/>
                <w:sz w:val="24"/>
              </w:rPr>
              <w:t>（2）复原模型的科学性高、精细度较高、贴图较细致，复原模型细节表现较强，角色毛发复原较逼真且质感较强，得3分；</w:t>
            </w:r>
          </w:p>
          <w:p>
            <w:pPr>
              <w:spacing w:line="360" w:lineRule="auto"/>
              <w:rPr>
                <w:rFonts w:ascii="宋体" w:hAnsi="宋体" w:eastAsia="宋体" w:cs="宋体"/>
                <w:sz w:val="24"/>
              </w:rPr>
            </w:pPr>
            <w:r>
              <w:rPr>
                <w:rFonts w:hint="eastAsia" w:ascii="宋体" w:hAnsi="宋体" w:eastAsia="宋体" w:cs="宋体"/>
                <w:sz w:val="24"/>
              </w:rPr>
              <w:t>（3）复原模型的科学性低、精细度一般、贴图一般，复原模型细节表现一般，角色毛发复原一般，得1分；</w:t>
            </w:r>
          </w:p>
          <w:p>
            <w:pPr>
              <w:spacing w:line="360" w:lineRule="auto"/>
              <w:rPr>
                <w:rFonts w:ascii="宋体" w:hAnsi="宋体" w:eastAsia="宋体" w:cs="宋体"/>
                <w:sz w:val="24"/>
              </w:rPr>
            </w:pPr>
            <w:r>
              <w:rPr>
                <w:rFonts w:hint="eastAsia" w:ascii="宋体" w:hAnsi="宋体" w:eastAsia="宋体" w:cs="宋体"/>
                <w:sz w:val="24"/>
              </w:rPr>
              <w:t>（4）未提供或提供得内容不符合要求的，得0分。</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17" w:hRule="atLeast"/>
          <w:jc w:val="center"/>
        </w:trPr>
        <w:tc>
          <w:tcPr>
            <w:tcW w:w="1137" w:type="dxa"/>
            <w:tcBorders>
              <w:left w:val="single" w:color="auto" w:sz="4" w:space="0"/>
              <w:right w:val="single" w:color="auto" w:sz="4"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价格分</w:t>
            </w:r>
          </w:p>
          <w:p>
            <w:pPr>
              <w:spacing w:line="360" w:lineRule="auto"/>
              <w:jc w:val="center"/>
              <w:rPr>
                <w:rFonts w:ascii="宋体" w:hAnsi="宋体" w:eastAsia="宋体" w:cs="宋体"/>
                <w:b/>
                <w:bCs/>
                <w:sz w:val="24"/>
              </w:rPr>
            </w:pPr>
            <w:r>
              <w:rPr>
                <w:rFonts w:hint="eastAsia" w:ascii="宋体" w:hAnsi="宋体" w:eastAsia="宋体" w:cs="宋体"/>
                <w:sz w:val="24"/>
              </w:rPr>
              <w:t>（20分）</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rPr>
            </w:pPr>
            <w:r>
              <w:rPr>
                <w:rFonts w:hint="eastAsia" w:ascii="宋体" w:hAnsi="宋体" w:eastAsia="宋体" w:cs="宋体"/>
                <w:sz w:val="24"/>
              </w:rPr>
              <w:t>价格分统一采用低价优先法，即满足采购文件要求且最后报价最低的供应商的价格为采购基准价，其价格分为满分20分。其他供应商的价格分统一按照下列公式计算：</w:t>
            </w:r>
          </w:p>
          <w:p>
            <w:pPr>
              <w:spacing w:line="360" w:lineRule="auto"/>
              <w:rPr>
                <w:rFonts w:ascii="宋体" w:hAnsi="宋体" w:eastAsia="宋体" w:cs="宋体"/>
                <w:b/>
                <w:bCs/>
                <w:sz w:val="24"/>
              </w:rPr>
            </w:pPr>
            <w:r>
              <w:rPr>
                <w:rFonts w:hint="eastAsia" w:ascii="宋体" w:hAnsi="宋体" w:eastAsia="宋体" w:cs="宋体"/>
                <w:sz w:val="24"/>
              </w:rPr>
              <w:t>采购报价得分＝（采购基准价/最后采购报价）×20％×100</w:t>
            </w:r>
          </w:p>
        </w:tc>
      </w:tr>
    </w:tbl>
    <w:p>
      <w:pPr>
        <w:spacing w:line="360" w:lineRule="auto"/>
        <w:ind w:firstLine="435"/>
        <w:outlineLvl w:val="3"/>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2</w:t>
      </w:r>
      <w:r>
        <w:rPr>
          <w:rFonts w:ascii="宋体" w:hAnsi="宋体" w:eastAsia="宋体" w:cs="Times New Roman"/>
          <w:sz w:val="24"/>
        </w:rPr>
        <w:t>.3</w:t>
      </w:r>
      <w:r>
        <w:rPr>
          <w:rFonts w:hint="eastAsia" w:ascii="宋体" w:hAnsi="宋体" w:eastAsia="宋体" w:cs="Times New Roman"/>
          <w:sz w:val="24"/>
        </w:rPr>
        <w:t>分值汇总</w:t>
      </w:r>
    </w:p>
    <w:p>
      <w:pPr>
        <w:spacing w:line="360" w:lineRule="auto"/>
        <w:ind w:firstLine="435"/>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采购</w:t>
      </w:r>
      <w:r>
        <w:rPr>
          <w:rFonts w:ascii="宋体" w:hAnsi="宋体" w:eastAsia="宋体" w:cs="Times New Roman"/>
          <w:sz w:val="24"/>
        </w:rPr>
        <w:t>小组各成员应当独立对每个有效响应的文件进行评价、打分，然后汇总每个供应商每项评分因素的得分，再取各位评委评分之平均值，四舍五入保留至小数点后两位数，得到该供应商的技术资信分。</w:t>
      </w:r>
    </w:p>
    <w:p>
      <w:pPr>
        <w:spacing w:line="360" w:lineRule="auto"/>
        <w:ind w:firstLine="435"/>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2）将每个供应商的技术资信分加上根据上述标准计算出的价格分，即为该供应商的综合总得分。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49072"/>
    <w:multiLevelType w:val="singleLevel"/>
    <w:tmpl w:val="831490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RkZDZmMmZkZWIzYzUyZDMyNTM3NWIyYjg0NDQifQ=="/>
  </w:docVars>
  <w:rsids>
    <w:rsidRoot w:val="6B196860"/>
    <w:rsid w:val="6B19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2024-07-16T01:24:00Z</dcterms:created>
  <dc:creator>张珊珊</dc:creator>
  <cp:lastModifiedBy>张珊珊</cp:lastModifiedBy>
  <dcterms:modified xsi:type="dcterms:W3CDTF">2024-07-16T01:25:14Z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F4E7FE36697F4A0CB92024ED28BA2F6E_11</vt:lpwstr>
  </property>
</Properties>
</file>