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A94F">
      <w:pPr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附件3：</w:t>
      </w:r>
    </w:p>
    <w:p w14:paraId="4B774AA1">
      <w:pPr>
        <w:pStyle w:val="4"/>
        <w:ind w:left="1455" w:firstLine="0" w:firstLineChars="0"/>
        <w:rPr>
          <w:rFonts w:eastAsia="宋体" w:cs="宋体"/>
          <w:b/>
          <w:bCs/>
          <w:color w:val="000000"/>
          <w:sz w:val="28"/>
          <w:szCs w:val="28"/>
        </w:rPr>
      </w:pPr>
      <w:r>
        <w:rPr>
          <w:rFonts w:hint="eastAsia" w:eastAsia="宋体" w:cs="宋体"/>
          <w:b/>
          <w:bCs/>
          <w:color w:val="000000"/>
          <w:sz w:val="28"/>
          <w:szCs w:val="28"/>
        </w:rPr>
        <w:t>科普及文创交流口头报告、展板等规格与要求</w:t>
      </w:r>
    </w:p>
    <w:p w14:paraId="5E9B326B">
      <w:pPr>
        <w:jc w:val="center"/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一、科普及文创交流口头报告</w:t>
      </w:r>
    </w:p>
    <w:bookmarkEnd w:id="0"/>
    <w:p w14:paraId="39B5D15A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1、科普报告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：</w:t>
      </w:r>
    </w:p>
    <w:p w14:paraId="523A5269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内容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包括但不限于：鱼龙与海洋爬行动物相关的专业领域科普类报告、化石爱好者身边的“化石故事”、科普教育与科学传播经验分享、国家科普制度理解与工作经验交流等。</w:t>
      </w:r>
    </w:p>
    <w:p w14:paraId="21A352BB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规格：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视频或PPT等形式，时间不超过15分钟，幻灯16:9格式。</w:t>
      </w:r>
    </w:p>
    <w:p w14:paraId="7AF1C56E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2、文创经验交流报告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：</w:t>
      </w:r>
    </w:p>
    <w:p w14:paraId="21D281DD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内容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包括但不限于：化石修理与保护技术、古生物数字复原及科普文创产品开发经验、文创产业未来发展、古生物文创虚拟产品开发、文创设计与艺术表达、文创产品市场与知识产权保护等。</w:t>
      </w:r>
    </w:p>
    <w:p w14:paraId="1664CC5E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规格：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视频或PPT等形式，时间不超过15分钟，幻灯16:9格式。</w:t>
      </w:r>
    </w:p>
    <w:p w14:paraId="551F45B2">
      <w:pPr>
        <w:tabs>
          <w:tab w:val="left" w:pos="420"/>
        </w:tabs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3、展板：</w:t>
      </w:r>
    </w:p>
    <w:p w14:paraId="56F50185">
      <w:pPr>
        <w:tabs>
          <w:tab w:val="left" w:pos="420"/>
        </w:tabs>
        <w:rPr>
          <w:rFonts w:ascii="Times New Roman" w:hAnsi="Times New Roman" w:eastAsia="宋体" w:cs="宋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内容</w:t>
      </w:r>
      <w:r>
        <w:rPr>
          <w:rFonts w:hint="eastAsia" w:ascii="Times New Roman" w:hAnsi="Times New Roman" w:eastAsia="宋体" w:cs="宋体"/>
          <w:bCs/>
          <w:color w:val="000000"/>
          <w:sz w:val="28"/>
          <w:szCs w:val="28"/>
        </w:rPr>
        <w:t>：介绍与展示单位或者个人“身边古生物化石”资源及景观、化石保护与资源利用的经验与实例、文创艺术特色技术、文创产品精品展示等。</w:t>
      </w:r>
    </w:p>
    <w:p w14:paraId="1DF2503D">
      <w:pPr>
        <w:tabs>
          <w:tab w:val="left" w:pos="420"/>
        </w:tabs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规格及要求：</w:t>
      </w:r>
    </w:p>
    <w:p w14:paraId="6166484A">
      <w:pPr>
        <w:pStyle w:val="4"/>
        <w:numPr>
          <w:ilvl w:val="0"/>
          <w:numId w:val="1"/>
        </w:numPr>
        <w:tabs>
          <w:tab w:val="left" w:pos="420"/>
        </w:tabs>
        <w:ind w:firstLineChars="0"/>
        <w:rPr>
          <w:rFonts w:eastAsia="宋体" w:cs="宋体"/>
          <w:bCs/>
          <w:color w:val="000000"/>
          <w:sz w:val="28"/>
          <w:szCs w:val="28"/>
        </w:rPr>
      </w:pPr>
      <w:r>
        <w:rPr>
          <w:rFonts w:hint="eastAsia" w:eastAsia="宋体" w:cs="宋体"/>
          <w:bCs/>
          <w:color w:val="000000"/>
          <w:sz w:val="28"/>
          <w:szCs w:val="28"/>
        </w:rPr>
        <w:t>会议在北广场、科技馆内免费提供展板展架或者桁架展墙；</w:t>
      </w:r>
    </w:p>
    <w:p w14:paraId="7FC45404">
      <w:pPr>
        <w:pStyle w:val="4"/>
        <w:numPr>
          <w:ilvl w:val="0"/>
          <w:numId w:val="1"/>
        </w:numPr>
        <w:tabs>
          <w:tab w:val="left" w:pos="420"/>
        </w:tabs>
        <w:ind w:firstLineChars="0"/>
        <w:rPr>
          <w:rFonts w:eastAsia="宋体" w:cs="宋体"/>
          <w:bCs/>
          <w:color w:val="000000"/>
          <w:sz w:val="28"/>
          <w:szCs w:val="28"/>
        </w:rPr>
      </w:pPr>
      <w:r>
        <w:rPr>
          <w:rFonts w:hint="eastAsia" w:eastAsia="宋体" w:cs="宋体"/>
          <w:bCs/>
          <w:color w:val="000000"/>
          <w:sz w:val="28"/>
          <w:szCs w:val="28"/>
        </w:rPr>
        <w:t>会议免费提供标准规格（200厘米*100厘米）展架；</w:t>
      </w:r>
    </w:p>
    <w:p w14:paraId="2534320D">
      <w:pPr>
        <w:pStyle w:val="4"/>
        <w:numPr>
          <w:ilvl w:val="0"/>
          <w:numId w:val="1"/>
        </w:numPr>
        <w:tabs>
          <w:tab w:val="left" w:pos="420"/>
        </w:tabs>
        <w:ind w:firstLineChars="0"/>
        <w:rPr>
          <w:rFonts w:eastAsia="宋体" w:cs="宋体"/>
          <w:bCs/>
          <w:color w:val="000000"/>
          <w:sz w:val="28"/>
          <w:szCs w:val="28"/>
        </w:rPr>
      </w:pPr>
      <w:r>
        <w:rPr>
          <w:rFonts w:hint="eastAsia" w:eastAsia="宋体" w:cs="宋体"/>
          <w:bCs/>
          <w:color w:val="000000"/>
          <w:sz w:val="28"/>
          <w:szCs w:val="28"/>
        </w:rPr>
        <w:t>可自行携带“易拉宝”展架，按照会议制定地点布置展板。</w:t>
      </w:r>
    </w:p>
    <w:p w14:paraId="5F9F08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6543C"/>
    <w:multiLevelType w:val="multilevel"/>
    <w:tmpl w:val="27F6543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35ED25E0"/>
    <w:rsid w:val="35E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2025-08-19T02:05:00Z</dcterms:created>
  <dc:creator>张珊珊</dc:creator>
  <cp:lastModifiedBy>张珊珊</cp:lastModifiedBy>
  <dcterms:modified xsi:type="dcterms:W3CDTF">2025-08-19T02:05:34Z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350DFED593AA4941B5BA859B12417848_11</vt:lpwstr>
  </property>
</Properties>
</file>